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F64" w:rsidRDefault="0084761D" w:rsidP="00113134">
      <w:pPr>
        <w:jc w:val="center"/>
      </w:pPr>
      <w:r w:rsidRPr="0084761D">
        <w:rPr>
          <w:noProof/>
        </w:rPr>
        <w:drawing>
          <wp:inline distT="0" distB="0" distL="0" distR="0">
            <wp:extent cx="5458724" cy="6992903"/>
            <wp:effectExtent l="19050" t="0" r="8626"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5474163" cy="7012682"/>
                    </a:xfrm>
                    <a:prstGeom prst="rect">
                      <a:avLst/>
                    </a:prstGeom>
                    <a:noFill/>
                    <a:ln w="9525">
                      <a:noFill/>
                      <a:miter lim="800000"/>
                      <a:headEnd/>
                      <a:tailEnd/>
                    </a:ln>
                  </pic:spPr>
                </pic:pic>
              </a:graphicData>
            </a:graphic>
          </wp:inline>
        </w:drawing>
      </w:r>
    </w:p>
    <w:p w:rsidR="0084761D" w:rsidRPr="00113134" w:rsidRDefault="00113134">
      <w:pPr>
        <w:rPr>
          <w:rFonts w:ascii="Times New Roman" w:hAnsi="Times New Roman" w:cs="Times New Roman"/>
        </w:rPr>
      </w:pPr>
      <w:bookmarkStart w:id="0" w:name="OLE_LINK3"/>
      <w:bookmarkStart w:id="1" w:name="OLE_LINK4"/>
      <w:r>
        <w:rPr>
          <w:rFonts w:ascii="Times New Roman" w:hAnsi="Times New Roman" w:cs="Times New Roman"/>
        </w:rPr>
        <w:t xml:space="preserve">Figure 1: </w:t>
      </w:r>
      <w:proofErr w:type="spellStart"/>
      <w:r>
        <w:rPr>
          <w:rFonts w:ascii="Times New Roman" w:hAnsi="Times New Roman" w:cs="Times New Roman"/>
        </w:rPr>
        <w:t>S</w:t>
      </w:r>
      <w:r w:rsidRPr="00113134">
        <w:rPr>
          <w:rFonts w:ascii="Times New Roman" w:hAnsi="Times New Roman" w:cs="Times New Roman"/>
        </w:rPr>
        <w:t>catterplot</w:t>
      </w:r>
      <w:r>
        <w:rPr>
          <w:rFonts w:ascii="Times New Roman" w:hAnsi="Times New Roman" w:cs="Times New Roman"/>
        </w:rPr>
        <w:t>s</w:t>
      </w:r>
      <w:proofErr w:type="spellEnd"/>
      <w:r w:rsidRPr="00113134">
        <w:rPr>
          <w:rFonts w:ascii="Times New Roman" w:hAnsi="Times New Roman" w:cs="Times New Roman"/>
        </w:rPr>
        <w:t xml:space="preserve"> of simulated return moments according to changes in dependence structure</w:t>
      </w:r>
      <w:r>
        <w:rPr>
          <w:rFonts w:ascii="Times New Roman" w:hAnsi="Times New Roman" w:cs="Times New Roman"/>
        </w:rPr>
        <w:t>s</w:t>
      </w:r>
      <w:r w:rsidRPr="00113134">
        <w:rPr>
          <w:rFonts w:ascii="Times New Roman" w:hAnsi="Times New Roman" w:cs="Times New Roman"/>
        </w:rPr>
        <w:t>, α, of Clayton copula. The solid lines represent sample return moments</w:t>
      </w:r>
      <w:r>
        <w:rPr>
          <w:rFonts w:ascii="Times New Roman" w:hAnsi="Times New Roman" w:cs="Times New Roman"/>
        </w:rPr>
        <w:t xml:space="preserve"> of U.S. returns</w:t>
      </w:r>
      <w:r w:rsidRPr="00113134">
        <w:rPr>
          <w:rFonts w:ascii="Times New Roman" w:hAnsi="Times New Roman" w:cs="Times New Roman"/>
        </w:rPr>
        <w:t>. The dotted lines are the estimated dependence structure from constant decomposition model.</w:t>
      </w:r>
    </w:p>
    <w:bookmarkEnd w:id="0"/>
    <w:bookmarkEnd w:id="1"/>
    <w:p w:rsidR="0084761D" w:rsidRDefault="0084761D"/>
    <w:p w:rsidR="00776F64" w:rsidRDefault="00475331" w:rsidP="00475331">
      <w:pPr>
        <w:jc w:val="center"/>
      </w:pPr>
      <w:r w:rsidRPr="00475331">
        <w:rPr>
          <w:noProof/>
        </w:rPr>
        <w:lastRenderedPageBreak/>
        <w:drawing>
          <wp:inline distT="0" distB="0" distL="0" distR="0">
            <wp:extent cx="5665757" cy="4941771"/>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5674227" cy="4949159"/>
                    </a:xfrm>
                    <a:prstGeom prst="rect">
                      <a:avLst/>
                    </a:prstGeom>
                    <a:noFill/>
                    <a:ln w="9525">
                      <a:noFill/>
                      <a:miter lim="800000"/>
                      <a:headEnd/>
                      <a:tailEnd/>
                    </a:ln>
                  </pic:spPr>
                </pic:pic>
              </a:graphicData>
            </a:graphic>
          </wp:inline>
        </w:drawing>
      </w:r>
    </w:p>
    <w:p w:rsidR="00475331" w:rsidRPr="00475331" w:rsidRDefault="00475331">
      <w:pPr>
        <w:rPr>
          <w:rFonts w:ascii="Times New Roman" w:hAnsi="Times New Roman" w:cs="Times New Roman"/>
        </w:rPr>
      </w:pPr>
      <w:bookmarkStart w:id="2" w:name="OLE_LINK5"/>
      <w:bookmarkStart w:id="3" w:name="OLE_LINK6"/>
      <w:r w:rsidRPr="00475331">
        <w:rPr>
          <w:rFonts w:ascii="Times New Roman" w:hAnsi="Times New Roman" w:cs="Times New Roman"/>
        </w:rPr>
        <w:t>Figure 2: Plot of Out-of-Sample Forecasts from Constant decomposition model (solid line), linear model (dash-dotted line), and dynamic decomposition model (dash line)</w:t>
      </w:r>
      <w:r>
        <w:rPr>
          <w:rFonts w:ascii="Times New Roman" w:hAnsi="Times New Roman" w:cs="Times New Roman"/>
        </w:rPr>
        <w:t>. The out-of-sample forecast period is 1982:01-2010:12.</w:t>
      </w:r>
    </w:p>
    <w:bookmarkEnd w:id="2"/>
    <w:bookmarkEnd w:id="3"/>
    <w:p w:rsidR="00AB5AAB" w:rsidRPr="00475331" w:rsidRDefault="00AB5AAB">
      <w:pPr>
        <w:rPr>
          <w:rFonts w:ascii="Times New Roman" w:hAnsi="Times New Roman" w:cs="Times New Roman"/>
        </w:rPr>
      </w:pPr>
    </w:p>
    <w:p w:rsidR="00AB5AAB" w:rsidRPr="00475331" w:rsidRDefault="00AB5AAB">
      <w:pPr>
        <w:rPr>
          <w:rFonts w:ascii="Times New Roman" w:hAnsi="Times New Roman" w:cs="Times New Roman"/>
        </w:rPr>
      </w:pPr>
    </w:p>
    <w:p w:rsidR="00AB5AAB" w:rsidRPr="00475331" w:rsidRDefault="00AB5AAB">
      <w:pPr>
        <w:rPr>
          <w:rFonts w:ascii="Times New Roman" w:hAnsi="Times New Roman" w:cs="Times New Roman"/>
        </w:rPr>
      </w:pPr>
    </w:p>
    <w:p w:rsidR="00AB5AAB" w:rsidRDefault="00AB5AAB">
      <w:pPr>
        <w:rPr>
          <w:rFonts w:ascii="Times New Roman" w:hAnsi="Times New Roman" w:cs="Times New Roman"/>
        </w:rPr>
      </w:pPr>
    </w:p>
    <w:p w:rsidR="00005280" w:rsidRDefault="00005280">
      <w:pPr>
        <w:rPr>
          <w:rFonts w:ascii="Times New Roman" w:hAnsi="Times New Roman" w:cs="Times New Roman"/>
        </w:rPr>
      </w:pPr>
    </w:p>
    <w:p w:rsidR="00005280" w:rsidRDefault="00005280">
      <w:pPr>
        <w:rPr>
          <w:rFonts w:ascii="Times New Roman" w:hAnsi="Times New Roman" w:cs="Times New Roman"/>
        </w:rPr>
      </w:pPr>
    </w:p>
    <w:p w:rsidR="00005280" w:rsidRDefault="00005280">
      <w:pPr>
        <w:rPr>
          <w:rFonts w:ascii="Times New Roman" w:hAnsi="Times New Roman" w:cs="Times New Roman"/>
        </w:rPr>
      </w:pPr>
    </w:p>
    <w:p w:rsidR="00005280" w:rsidRDefault="00005280">
      <w:pPr>
        <w:rPr>
          <w:rFonts w:ascii="Times New Roman" w:hAnsi="Times New Roman" w:cs="Times New Roman"/>
        </w:rPr>
        <w:sectPr w:rsidR="00005280" w:rsidSect="007924AB">
          <w:pgSz w:w="12240" w:h="15840"/>
          <w:pgMar w:top="1440" w:right="1800" w:bottom="1440" w:left="1800" w:header="720" w:footer="720" w:gutter="0"/>
          <w:cols w:space="720"/>
          <w:docGrid w:linePitch="360"/>
        </w:sectPr>
      </w:pPr>
    </w:p>
    <w:p w:rsidR="0038059D" w:rsidRDefault="00005280">
      <w:pPr>
        <w:rPr>
          <w:rFonts w:ascii="Times New Roman" w:hAnsi="Times New Roman" w:cs="Times New Roman"/>
        </w:rPr>
      </w:pPr>
      <w:r w:rsidRPr="00005280">
        <w:rPr>
          <w:noProof/>
        </w:rPr>
        <w:lastRenderedPageBreak/>
        <w:drawing>
          <wp:inline distT="0" distB="0" distL="0" distR="0">
            <wp:extent cx="8564233" cy="4321834"/>
            <wp:effectExtent l="19050" t="0" r="8267"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srcRect/>
                    <a:stretch>
                      <a:fillRect/>
                    </a:stretch>
                  </pic:blipFill>
                  <pic:spPr bwMode="auto">
                    <a:xfrm>
                      <a:off x="0" y="0"/>
                      <a:ext cx="8569022" cy="4324251"/>
                    </a:xfrm>
                    <a:prstGeom prst="rect">
                      <a:avLst/>
                    </a:prstGeom>
                    <a:noFill/>
                    <a:ln w="9525">
                      <a:noFill/>
                      <a:miter lim="800000"/>
                      <a:headEnd/>
                      <a:tailEnd/>
                    </a:ln>
                  </pic:spPr>
                </pic:pic>
              </a:graphicData>
            </a:graphic>
          </wp:inline>
        </w:drawing>
      </w:r>
    </w:p>
    <w:p w:rsidR="008B1EFB" w:rsidRDefault="00005280">
      <w:pPr>
        <w:rPr>
          <w:rFonts w:ascii="Times New Roman" w:hAnsi="Times New Roman" w:cs="Times New Roman"/>
        </w:rPr>
        <w:sectPr w:rsidR="008B1EFB" w:rsidSect="00005280">
          <w:pgSz w:w="15840" w:h="12240" w:orient="landscape"/>
          <w:pgMar w:top="1800" w:right="1440" w:bottom="1800" w:left="1440" w:header="720" w:footer="720" w:gutter="0"/>
          <w:cols w:space="720"/>
          <w:docGrid w:linePitch="360"/>
        </w:sectPr>
      </w:pPr>
      <w:bookmarkStart w:id="4" w:name="OLE_LINK7"/>
      <w:bookmarkStart w:id="5" w:name="OLE_LINK8"/>
      <w:r>
        <w:rPr>
          <w:rFonts w:ascii="Times New Roman" w:hAnsi="Times New Roman" w:cs="Times New Roman"/>
        </w:rPr>
        <w:t xml:space="preserve">Figure 3: </w:t>
      </w:r>
      <w:proofErr w:type="spellStart"/>
      <w:r>
        <w:rPr>
          <w:rFonts w:ascii="Times New Roman" w:hAnsi="Times New Roman" w:cs="Times New Roman"/>
        </w:rPr>
        <w:t>Scatterplot</w:t>
      </w:r>
      <w:proofErr w:type="spellEnd"/>
      <w:r>
        <w:rPr>
          <w:rFonts w:ascii="Times New Roman" w:hAnsi="Times New Roman" w:cs="Times New Roman"/>
        </w:rPr>
        <w:t xml:space="preserve"> of forecast variances and squared forecast biases: 1982:01-2010:12. </w:t>
      </w:r>
      <w:r w:rsidRPr="00005280">
        <w:rPr>
          <w:rFonts w:ascii="Times New Roman" w:hAnsi="Times New Roman" w:cs="Times New Roman"/>
        </w:rPr>
        <w:t>The integer numbers are assigned to dynamic models in Table 3. Note that all even numbers represents the dynamic models from conditional dependence, and all odd numbers are those from conditional independence. The forecast variance is scaled by 10</w:t>
      </w:r>
      <w:r w:rsidRPr="00005280">
        <w:rPr>
          <w:rFonts w:ascii="Times New Roman" w:hAnsi="Times New Roman" w:cs="Times New Roman"/>
          <w:vertAlign w:val="superscript"/>
        </w:rPr>
        <w:t>4</w:t>
      </w:r>
      <w:r w:rsidRPr="00005280">
        <w:rPr>
          <w:rFonts w:ascii="Times New Roman" w:hAnsi="Times New Roman" w:cs="Times New Roman"/>
        </w:rPr>
        <w:t xml:space="preserve"> and the squared forecast bias is scaled by 10</w:t>
      </w:r>
      <w:r w:rsidRPr="00005280">
        <w:rPr>
          <w:rFonts w:ascii="Times New Roman" w:hAnsi="Times New Roman" w:cs="Times New Roman"/>
          <w:vertAlign w:val="superscript"/>
        </w:rPr>
        <w:t>3</w:t>
      </w:r>
      <w:r w:rsidRPr="00005280">
        <w:rPr>
          <w:rFonts w:ascii="Times New Roman" w:hAnsi="Times New Roman" w:cs="Times New Roman"/>
        </w:rPr>
        <w:t>. The labels of</w:t>
      </w:r>
      <w:r>
        <w:rPr>
          <w:rFonts w:ascii="Times New Roman" w:hAnsi="Times New Roman" w:cs="Times New Roman"/>
        </w:rPr>
        <w:t xml:space="preserve"> </w:t>
      </w:r>
      <w:r w:rsidRPr="00005280">
        <w:rPr>
          <w:rFonts w:ascii="Times New Roman" w:hAnsi="Times New Roman" w:cs="Times New Roman"/>
        </w:rPr>
        <w:t>'</w:t>
      </w:r>
      <w:proofErr w:type="spellStart"/>
      <w:r w:rsidRPr="00005280">
        <w:rPr>
          <w:rFonts w:ascii="Times New Roman" w:hAnsi="Times New Roman" w:cs="Times New Roman"/>
        </w:rPr>
        <w:t>lin</w:t>
      </w:r>
      <w:proofErr w:type="spellEnd"/>
      <w:r w:rsidRPr="00005280">
        <w:rPr>
          <w:rFonts w:ascii="Times New Roman" w:hAnsi="Times New Roman" w:cs="Times New Roman"/>
        </w:rPr>
        <w:t xml:space="preserve">' and 'his' denote the conditional linear and historical average models, respectively. </w:t>
      </w:r>
      <w:proofErr w:type="spellStart"/>
      <w:r w:rsidRPr="00005280">
        <w:rPr>
          <w:rFonts w:ascii="Times New Roman" w:hAnsi="Times New Roman" w:cs="Times New Roman"/>
        </w:rPr>
        <w:t>ConCI</w:t>
      </w:r>
      <w:proofErr w:type="spellEnd"/>
      <w:r w:rsidRPr="00005280">
        <w:rPr>
          <w:rFonts w:ascii="Times New Roman" w:hAnsi="Times New Roman" w:cs="Times New Roman"/>
        </w:rPr>
        <w:t xml:space="preserve"> represents the constant model from condit</w:t>
      </w:r>
      <w:r>
        <w:rPr>
          <w:rFonts w:ascii="Times New Roman" w:hAnsi="Times New Roman" w:cs="Times New Roman"/>
        </w:rPr>
        <w:t>i</w:t>
      </w:r>
      <w:r w:rsidRPr="00005280">
        <w:rPr>
          <w:rFonts w:ascii="Times New Roman" w:hAnsi="Times New Roman" w:cs="Times New Roman"/>
        </w:rPr>
        <w:t xml:space="preserve">onal independence and </w:t>
      </w:r>
      <w:proofErr w:type="spellStart"/>
      <w:r w:rsidRPr="00005280">
        <w:rPr>
          <w:rFonts w:ascii="Times New Roman" w:hAnsi="Times New Roman" w:cs="Times New Roman"/>
        </w:rPr>
        <w:t>ConDep</w:t>
      </w:r>
      <w:proofErr w:type="spellEnd"/>
      <w:r w:rsidRPr="00005280">
        <w:rPr>
          <w:rFonts w:ascii="Times New Roman" w:hAnsi="Times New Roman" w:cs="Times New Roman"/>
        </w:rPr>
        <w:t xml:space="preserve"> is the constant model from conditional dependence.</w:t>
      </w:r>
    </w:p>
    <w:bookmarkEnd w:id="4"/>
    <w:bookmarkEnd w:id="5"/>
    <w:p w:rsidR="00AB5AAB" w:rsidRPr="00475331" w:rsidRDefault="008B1EFB" w:rsidP="008B1EFB">
      <w:pPr>
        <w:rPr>
          <w:rFonts w:ascii="Times New Roman" w:hAnsi="Times New Roman" w:cs="Times New Roman"/>
        </w:rPr>
      </w:pPr>
      <w:r w:rsidRPr="008B1EFB">
        <w:rPr>
          <w:noProof/>
        </w:rPr>
        <w:lastRenderedPageBreak/>
        <w:drawing>
          <wp:inline distT="0" distB="0" distL="0" distR="0">
            <wp:extent cx="5645321" cy="4037162"/>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658265" cy="4046418"/>
                    </a:xfrm>
                    <a:prstGeom prst="rect">
                      <a:avLst/>
                    </a:prstGeom>
                    <a:noFill/>
                    <a:ln w="9525">
                      <a:noFill/>
                      <a:miter lim="800000"/>
                      <a:headEnd/>
                      <a:tailEnd/>
                    </a:ln>
                  </pic:spPr>
                </pic:pic>
              </a:graphicData>
            </a:graphic>
          </wp:inline>
        </w:drawing>
      </w:r>
      <w:bookmarkStart w:id="6" w:name="OLE_LINK9"/>
      <w:bookmarkStart w:id="7" w:name="OLE_LINK10"/>
      <w:r>
        <w:rPr>
          <w:rFonts w:ascii="Times New Roman" w:hAnsi="Times New Roman" w:cs="Times New Roman"/>
        </w:rPr>
        <w:t>Figure 4: Out-of-sample dependence structure estimation from</w:t>
      </w:r>
      <w:r w:rsidR="00292CC3">
        <w:rPr>
          <w:rFonts w:ascii="Times New Roman" w:hAnsi="Times New Roman" w:cs="Times New Roman"/>
        </w:rPr>
        <w:t xml:space="preserve"> the</w:t>
      </w:r>
      <w:r>
        <w:rPr>
          <w:rFonts w:ascii="Times New Roman" w:hAnsi="Times New Roman" w:cs="Times New Roman"/>
        </w:rPr>
        <w:t xml:space="preserve"> constant</w:t>
      </w:r>
      <w:r w:rsidR="00292CC3">
        <w:rPr>
          <w:rFonts w:ascii="Times New Roman" w:hAnsi="Times New Roman" w:cs="Times New Roman"/>
        </w:rPr>
        <w:t xml:space="preserve"> decomposition model</w:t>
      </w:r>
      <w:r>
        <w:rPr>
          <w:rFonts w:ascii="Times New Roman" w:hAnsi="Times New Roman" w:cs="Times New Roman"/>
        </w:rPr>
        <w:t xml:space="preserve"> (solid line) and</w:t>
      </w:r>
      <w:r w:rsidR="00292CC3">
        <w:rPr>
          <w:rFonts w:ascii="Times New Roman" w:hAnsi="Times New Roman" w:cs="Times New Roman"/>
        </w:rPr>
        <w:t xml:space="preserve"> the</w:t>
      </w:r>
      <w:r>
        <w:rPr>
          <w:rFonts w:ascii="Times New Roman" w:hAnsi="Times New Roman" w:cs="Times New Roman"/>
        </w:rPr>
        <w:t xml:space="preserve"> dynamic decomposition models</w:t>
      </w:r>
      <w:r w:rsidR="00292CC3">
        <w:rPr>
          <w:rFonts w:ascii="Times New Roman" w:hAnsi="Times New Roman" w:cs="Times New Roman"/>
        </w:rPr>
        <w:t xml:space="preserve"> (non-solid lines)</w:t>
      </w:r>
      <w:r>
        <w:rPr>
          <w:rFonts w:ascii="Times New Roman" w:hAnsi="Times New Roman" w:cs="Times New Roman"/>
        </w:rPr>
        <w:t>.</w:t>
      </w:r>
      <w:bookmarkEnd w:id="6"/>
      <w:bookmarkEnd w:id="7"/>
    </w:p>
    <w:p w:rsidR="00AB5AAB" w:rsidRPr="00475331" w:rsidRDefault="00AB5AAB">
      <w:pPr>
        <w:rPr>
          <w:rFonts w:ascii="Times New Roman" w:hAnsi="Times New Roman" w:cs="Times New Roman"/>
        </w:rPr>
      </w:pPr>
    </w:p>
    <w:p w:rsidR="00AB5AAB" w:rsidRPr="00475331" w:rsidRDefault="00AB5AAB">
      <w:pPr>
        <w:rPr>
          <w:rFonts w:ascii="Times New Roman" w:hAnsi="Times New Roman" w:cs="Times New Roman"/>
        </w:rPr>
      </w:pPr>
    </w:p>
    <w:p w:rsidR="00AB5AAB" w:rsidRPr="00475331" w:rsidRDefault="00AB5AAB">
      <w:pPr>
        <w:rPr>
          <w:rFonts w:ascii="Times New Roman" w:hAnsi="Times New Roman" w:cs="Times New Roman"/>
        </w:rPr>
      </w:pPr>
    </w:p>
    <w:p w:rsidR="00AB5AAB" w:rsidRDefault="00AB5AAB">
      <w:pPr>
        <w:rPr>
          <w:rFonts w:ascii="Times New Roman" w:hAnsi="Times New Roman" w:cs="Times New Roman"/>
        </w:rPr>
      </w:pPr>
    </w:p>
    <w:p w:rsidR="00F76874" w:rsidRDefault="00F76874">
      <w:pPr>
        <w:rPr>
          <w:rFonts w:ascii="Times New Roman" w:hAnsi="Times New Roman" w:cs="Times New Roman"/>
        </w:rPr>
      </w:pPr>
    </w:p>
    <w:p w:rsidR="00F76874" w:rsidRDefault="00F76874">
      <w:pPr>
        <w:rPr>
          <w:rFonts w:ascii="Times New Roman" w:hAnsi="Times New Roman" w:cs="Times New Roman"/>
        </w:rPr>
      </w:pPr>
    </w:p>
    <w:p w:rsidR="00F76874" w:rsidRDefault="00F76874">
      <w:pPr>
        <w:rPr>
          <w:rFonts w:ascii="Times New Roman" w:hAnsi="Times New Roman" w:cs="Times New Roman"/>
        </w:rPr>
      </w:pPr>
    </w:p>
    <w:p w:rsidR="00F76874" w:rsidRDefault="00F76874">
      <w:pPr>
        <w:rPr>
          <w:rFonts w:ascii="Times New Roman" w:hAnsi="Times New Roman" w:cs="Times New Roman"/>
        </w:rPr>
      </w:pPr>
    </w:p>
    <w:p w:rsidR="00F76874" w:rsidRDefault="00F76874">
      <w:pPr>
        <w:rPr>
          <w:rFonts w:ascii="Times New Roman" w:hAnsi="Times New Roman" w:cs="Times New Roman"/>
        </w:rPr>
      </w:pPr>
    </w:p>
    <w:p w:rsidR="00F76874" w:rsidRDefault="00F76874">
      <w:pPr>
        <w:rPr>
          <w:rFonts w:ascii="Times New Roman" w:hAnsi="Times New Roman" w:cs="Times New Roman"/>
        </w:rPr>
      </w:pPr>
    </w:p>
    <w:p w:rsidR="00F76874" w:rsidRDefault="00F76874">
      <w:pPr>
        <w:rPr>
          <w:rFonts w:ascii="Times New Roman" w:hAnsi="Times New Roman" w:cs="Times New Roman"/>
        </w:rPr>
      </w:pPr>
    </w:p>
    <w:p w:rsidR="00F76874" w:rsidRPr="00475331" w:rsidRDefault="00F76874">
      <w:pPr>
        <w:rPr>
          <w:rFonts w:ascii="Times New Roman" w:hAnsi="Times New Roman" w:cs="Times New Roman"/>
        </w:rPr>
      </w:pPr>
    </w:p>
    <w:p w:rsidR="00AB5AAB" w:rsidRPr="00475331" w:rsidRDefault="00FD6EB7">
      <w:pPr>
        <w:rPr>
          <w:rFonts w:ascii="Times New Roman" w:hAnsi="Times New Roman" w:cs="Times New Roman"/>
        </w:rPr>
      </w:pPr>
      <w:r w:rsidRPr="00FD6EB7">
        <w:rPr>
          <w:noProof/>
        </w:rPr>
        <w:lastRenderedPageBreak/>
        <w:drawing>
          <wp:inline distT="0" distB="0" distL="0" distR="0">
            <wp:extent cx="5483019" cy="3467100"/>
            <wp:effectExtent l="19050" t="0" r="3381"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486400" cy="3469238"/>
                    </a:xfrm>
                    <a:prstGeom prst="rect">
                      <a:avLst/>
                    </a:prstGeom>
                    <a:noFill/>
                    <a:ln w="9525">
                      <a:noFill/>
                      <a:miter lim="800000"/>
                      <a:headEnd/>
                      <a:tailEnd/>
                    </a:ln>
                  </pic:spPr>
                </pic:pic>
              </a:graphicData>
            </a:graphic>
          </wp:inline>
        </w:drawing>
      </w:r>
    </w:p>
    <w:p w:rsidR="00AB5AAB" w:rsidRPr="00475331" w:rsidRDefault="00FD6EB7">
      <w:pPr>
        <w:rPr>
          <w:rFonts w:ascii="Times New Roman" w:hAnsi="Times New Roman" w:cs="Times New Roman"/>
        </w:rPr>
      </w:pPr>
      <w:bookmarkStart w:id="8" w:name="OLE_LINK11"/>
      <w:bookmarkStart w:id="9" w:name="OLE_LINK12"/>
      <w:r>
        <w:rPr>
          <w:rFonts w:ascii="Times New Roman" w:hAnsi="Times New Roman" w:cs="Times New Roman"/>
        </w:rPr>
        <w:t>Figure 5-Panel A:</w:t>
      </w:r>
      <w:r w:rsidR="00451149">
        <w:rPr>
          <w:rFonts w:ascii="Times New Roman" w:hAnsi="Times New Roman" w:cs="Times New Roman"/>
        </w:rPr>
        <w:t xml:space="preserve"> Plots of predicted loss differences over the entire time path. The horizontal line denotes a zero level. Positive values represent the time periods that a competing model performs better out-of-sample than historical average </w:t>
      </w:r>
    </w:p>
    <w:bookmarkEnd w:id="8"/>
    <w:bookmarkEnd w:id="9"/>
    <w:p w:rsidR="00776F64" w:rsidRPr="00475331" w:rsidRDefault="00FD6EB7">
      <w:pPr>
        <w:rPr>
          <w:rFonts w:ascii="Times New Roman" w:hAnsi="Times New Roman" w:cs="Times New Roman"/>
        </w:rPr>
      </w:pPr>
      <w:r w:rsidRPr="00FD6EB7">
        <w:rPr>
          <w:noProof/>
        </w:rPr>
        <w:drawing>
          <wp:inline distT="0" distB="0" distL="0" distR="0">
            <wp:extent cx="5486400" cy="3089890"/>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5486400" cy="3089890"/>
                    </a:xfrm>
                    <a:prstGeom prst="rect">
                      <a:avLst/>
                    </a:prstGeom>
                    <a:noFill/>
                    <a:ln w="9525">
                      <a:noFill/>
                      <a:miter lim="800000"/>
                      <a:headEnd/>
                      <a:tailEnd/>
                    </a:ln>
                  </pic:spPr>
                </pic:pic>
              </a:graphicData>
            </a:graphic>
          </wp:inline>
        </w:drawing>
      </w:r>
    </w:p>
    <w:p w:rsidR="00451149" w:rsidRPr="00475331" w:rsidRDefault="00451149" w:rsidP="00451149">
      <w:pPr>
        <w:rPr>
          <w:rFonts w:ascii="Times New Roman" w:hAnsi="Times New Roman" w:cs="Times New Roman"/>
        </w:rPr>
      </w:pPr>
      <w:r>
        <w:rPr>
          <w:rFonts w:ascii="Times New Roman" w:hAnsi="Times New Roman" w:cs="Times New Roman"/>
        </w:rPr>
        <w:t xml:space="preserve">Figure 5-Panel B: Plots of predicted loss differences over the entire time path. The horizontal line denotes a zero level. Positive values represent the time periods that the dynamic decomposition model performs better out-of-sample than the constant decomposition model </w:t>
      </w:r>
    </w:p>
    <w:p w:rsidR="00FD6EB7" w:rsidRDefault="00FD6EB7">
      <w:pPr>
        <w:rPr>
          <w:rFonts w:ascii="Times New Roman" w:hAnsi="Times New Roman" w:cs="Times New Roman"/>
        </w:rPr>
        <w:sectPr w:rsidR="00FD6EB7" w:rsidSect="008B1EFB">
          <w:pgSz w:w="12240" w:h="15840"/>
          <w:pgMar w:top="1440" w:right="1800" w:bottom="1440" w:left="1800" w:header="720" w:footer="720" w:gutter="0"/>
          <w:cols w:space="720"/>
          <w:docGrid w:linePitch="360"/>
        </w:sectPr>
      </w:pPr>
    </w:p>
    <w:p w:rsidR="00776F64" w:rsidRPr="00475331" w:rsidRDefault="00FD6EB7">
      <w:pPr>
        <w:rPr>
          <w:rFonts w:ascii="Times New Roman" w:hAnsi="Times New Roman" w:cs="Times New Roman"/>
        </w:rPr>
      </w:pPr>
      <w:r w:rsidRPr="00FD6EB7">
        <w:rPr>
          <w:noProof/>
        </w:rPr>
        <w:lastRenderedPageBreak/>
        <w:drawing>
          <wp:inline distT="0" distB="0" distL="0" distR="0">
            <wp:extent cx="8426210" cy="484804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srcRect/>
                    <a:stretch>
                      <a:fillRect/>
                    </a:stretch>
                  </pic:blipFill>
                  <pic:spPr bwMode="auto">
                    <a:xfrm>
                      <a:off x="0" y="0"/>
                      <a:ext cx="8430629" cy="4850587"/>
                    </a:xfrm>
                    <a:prstGeom prst="rect">
                      <a:avLst/>
                    </a:prstGeom>
                    <a:noFill/>
                    <a:ln w="9525">
                      <a:noFill/>
                      <a:miter lim="800000"/>
                      <a:headEnd/>
                      <a:tailEnd/>
                    </a:ln>
                  </pic:spPr>
                </pic:pic>
              </a:graphicData>
            </a:graphic>
          </wp:inline>
        </w:drawing>
      </w:r>
    </w:p>
    <w:p w:rsidR="00776F64" w:rsidRDefault="00FD6EB7">
      <w:pPr>
        <w:rPr>
          <w:rFonts w:ascii="Times New Roman" w:hAnsi="Times New Roman" w:cs="Times New Roman"/>
        </w:rPr>
      </w:pPr>
      <w:bookmarkStart w:id="10" w:name="OLE_LINK1"/>
      <w:bookmarkStart w:id="11" w:name="OLE_LINK2"/>
      <w:r>
        <w:rPr>
          <w:rFonts w:ascii="Times New Roman" w:hAnsi="Times New Roman" w:cs="Times New Roman"/>
        </w:rPr>
        <w:t>Figure 6:</w:t>
      </w:r>
      <w:bookmarkStart w:id="12" w:name="OLE_LINK13"/>
      <w:bookmarkStart w:id="13" w:name="OLE_LINK14"/>
      <w:r w:rsidR="00451149">
        <w:rPr>
          <w:rFonts w:ascii="Times New Roman" w:hAnsi="Times New Roman" w:cs="Times New Roman"/>
        </w:rPr>
        <w:t xml:space="preserve"> Plots of out-of-sample forecasts of returns, downside risk, </w:t>
      </w:r>
      <w:proofErr w:type="spellStart"/>
      <w:r w:rsidR="00451149">
        <w:rPr>
          <w:rFonts w:ascii="Times New Roman" w:hAnsi="Times New Roman" w:cs="Times New Roman"/>
        </w:rPr>
        <w:t>skewness</w:t>
      </w:r>
      <w:proofErr w:type="spellEnd"/>
      <w:r w:rsidR="00451149">
        <w:rPr>
          <w:rFonts w:ascii="Times New Roman" w:hAnsi="Times New Roman" w:cs="Times New Roman"/>
        </w:rPr>
        <w:t xml:space="preserve">, and kurtosis along with vertical lines indicating NBER-dated business-cycle phases. </w:t>
      </w:r>
      <w:r w:rsidR="007B16B3">
        <w:rPr>
          <w:rFonts w:ascii="Times New Roman" w:hAnsi="Times New Roman" w:cs="Times New Roman"/>
        </w:rPr>
        <w:t>“</w:t>
      </w:r>
      <w:proofErr w:type="spellStart"/>
      <w:r w:rsidR="00451149">
        <w:rPr>
          <w:rFonts w:ascii="Times New Roman" w:hAnsi="Times New Roman" w:cs="Times New Roman"/>
        </w:rPr>
        <w:t>Rec</w:t>
      </w:r>
      <w:proofErr w:type="spellEnd"/>
      <w:r w:rsidR="007B16B3">
        <w:rPr>
          <w:rFonts w:ascii="Times New Roman" w:hAnsi="Times New Roman" w:cs="Times New Roman"/>
        </w:rPr>
        <w:t>”</w:t>
      </w:r>
      <w:r w:rsidR="00451149">
        <w:rPr>
          <w:rFonts w:ascii="Times New Roman" w:hAnsi="Times New Roman" w:cs="Times New Roman"/>
        </w:rPr>
        <w:t xml:space="preserve"> and </w:t>
      </w:r>
      <w:r w:rsidR="007B16B3">
        <w:rPr>
          <w:rFonts w:ascii="Times New Roman" w:hAnsi="Times New Roman" w:cs="Times New Roman"/>
        </w:rPr>
        <w:t>“</w:t>
      </w:r>
      <w:proofErr w:type="spellStart"/>
      <w:r w:rsidR="00451149">
        <w:rPr>
          <w:rFonts w:ascii="Times New Roman" w:hAnsi="Times New Roman" w:cs="Times New Roman"/>
        </w:rPr>
        <w:t>Expan</w:t>
      </w:r>
      <w:proofErr w:type="spellEnd"/>
      <w:r w:rsidR="007B16B3">
        <w:rPr>
          <w:rFonts w:ascii="Times New Roman" w:hAnsi="Times New Roman" w:cs="Times New Roman"/>
        </w:rPr>
        <w:t>”</w:t>
      </w:r>
      <w:r w:rsidR="00451149">
        <w:rPr>
          <w:rFonts w:ascii="Times New Roman" w:hAnsi="Times New Roman" w:cs="Times New Roman"/>
        </w:rPr>
        <w:t xml:space="preserve"> denote recession and expansion periods</w:t>
      </w:r>
      <w:r w:rsidR="007B16B3">
        <w:rPr>
          <w:rFonts w:ascii="Times New Roman" w:hAnsi="Times New Roman" w:cs="Times New Roman"/>
        </w:rPr>
        <w:t>, and “P” and “T” represent a peak and a trough, respectively.</w:t>
      </w:r>
      <w:bookmarkEnd w:id="12"/>
      <w:bookmarkEnd w:id="13"/>
    </w:p>
    <w:bookmarkEnd w:id="10"/>
    <w:bookmarkEnd w:id="11"/>
    <w:p w:rsidR="00C01EE4" w:rsidRDefault="00C01EE4">
      <w:pPr>
        <w:rPr>
          <w:rFonts w:ascii="Times New Roman" w:hAnsi="Times New Roman" w:cs="Times New Roman"/>
        </w:rPr>
      </w:pPr>
    </w:p>
    <w:p w:rsidR="00C01EE4" w:rsidRDefault="0031289A">
      <w:pPr>
        <w:rPr>
          <w:rFonts w:ascii="Times New Roman" w:hAnsi="Times New Roman" w:cs="Times New Roman"/>
        </w:rPr>
      </w:pPr>
      <w:r w:rsidRPr="0031289A">
        <w:rPr>
          <w:noProof/>
        </w:rPr>
        <w:drawing>
          <wp:inline distT="0" distB="0" distL="0" distR="0">
            <wp:extent cx="8229600" cy="442232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srcRect/>
                    <a:stretch>
                      <a:fillRect/>
                    </a:stretch>
                  </pic:blipFill>
                  <pic:spPr bwMode="auto">
                    <a:xfrm>
                      <a:off x="0" y="0"/>
                      <a:ext cx="8229600" cy="4422325"/>
                    </a:xfrm>
                    <a:prstGeom prst="rect">
                      <a:avLst/>
                    </a:prstGeom>
                    <a:noFill/>
                    <a:ln w="9525">
                      <a:noFill/>
                      <a:miter lim="800000"/>
                      <a:headEnd/>
                      <a:tailEnd/>
                    </a:ln>
                  </pic:spPr>
                </pic:pic>
              </a:graphicData>
            </a:graphic>
          </wp:inline>
        </w:drawing>
      </w:r>
    </w:p>
    <w:p w:rsidR="0031289A" w:rsidRPr="00475331" w:rsidRDefault="0031289A">
      <w:pPr>
        <w:rPr>
          <w:rFonts w:ascii="Times New Roman" w:hAnsi="Times New Roman" w:cs="Times New Roman"/>
        </w:rPr>
      </w:pPr>
      <w:r>
        <w:rPr>
          <w:rFonts w:ascii="Times New Roman" w:hAnsi="Times New Roman" w:cs="Times New Roman"/>
        </w:rPr>
        <w:t>Figure 7:</w:t>
      </w:r>
      <w:r w:rsidR="00794D69">
        <w:rPr>
          <w:rFonts w:ascii="Times New Roman" w:hAnsi="Times New Roman" w:cs="Times New Roman"/>
        </w:rPr>
        <w:t xml:space="preserve"> </w:t>
      </w:r>
      <w:bookmarkStart w:id="14" w:name="OLE_LINK15"/>
      <w:bookmarkStart w:id="15" w:name="OLE_LINK16"/>
      <w:r w:rsidR="00794D69">
        <w:rPr>
          <w:rFonts w:ascii="Times New Roman" w:hAnsi="Times New Roman" w:cs="Times New Roman"/>
        </w:rPr>
        <w:t xml:space="preserve">Plot of Value-at-Risk forecasts from historical simulation, </w:t>
      </w:r>
      <w:proofErr w:type="gramStart"/>
      <w:r w:rsidR="00794D69">
        <w:rPr>
          <w:rFonts w:ascii="Times New Roman" w:hAnsi="Times New Roman" w:cs="Times New Roman"/>
        </w:rPr>
        <w:t>GARCH(</w:t>
      </w:r>
      <w:proofErr w:type="gramEnd"/>
      <w:r w:rsidR="00794D69">
        <w:rPr>
          <w:rFonts w:ascii="Times New Roman" w:hAnsi="Times New Roman" w:cs="Times New Roman"/>
        </w:rPr>
        <w:t xml:space="preserve">1,1), </w:t>
      </w:r>
      <w:proofErr w:type="spellStart"/>
      <w:r w:rsidR="00794D69">
        <w:rPr>
          <w:rFonts w:ascii="Times New Roman" w:hAnsi="Times New Roman" w:cs="Times New Roman"/>
        </w:rPr>
        <w:t>CAViaR</w:t>
      </w:r>
      <w:proofErr w:type="spellEnd"/>
      <w:r w:rsidR="00794D69">
        <w:rPr>
          <w:rFonts w:ascii="Times New Roman" w:hAnsi="Times New Roman" w:cs="Times New Roman"/>
        </w:rPr>
        <w:t xml:space="preserve">, and dynamic decomposition models. </w:t>
      </w:r>
    </w:p>
    <w:bookmarkEnd w:id="14"/>
    <w:bookmarkEnd w:id="15"/>
    <w:p w:rsidR="00776F64" w:rsidRPr="00475331" w:rsidRDefault="00776F64">
      <w:pPr>
        <w:rPr>
          <w:rFonts w:ascii="Times New Roman" w:hAnsi="Times New Roman" w:cs="Times New Roman"/>
        </w:rPr>
      </w:pPr>
    </w:p>
    <w:p w:rsidR="00776F64" w:rsidRPr="00475331" w:rsidRDefault="00776F64">
      <w:pPr>
        <w:rPr>
          <w:rFonts w:ascii="Times New Roman" w:hAnsi="Times New Roman" w:cs="Times New Roman"/>
        </w:rPr>
      </w:pPr>
    </w:p>
    <w:p w:rsidR="00776F64" w:rsidRDefault="0031289A">
      <w:pPr>
        <w:rPr>
          <w:rFonts w:ascii="Times New Roman" w:hAnsi="Times New Roman" w:cs="Times New Roman"/>
        </w:rPr>
      </w:pPr>
      <w:r w:rsidRPr="0031289A">
        <w:rPr>
          <w:noProof/>
        </w:rPr>
        <w:drawing>
          <wp:inline distT="0" distB="0" distL="0" distR="0">
            <wp:extent cx="8229600" cy="4422325"/>
            <wp:effectExtent l="1905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srcRect/>
                    <a:stretch>
                      <a:fillRect/>
                    </a:stretch>
                  </pic:blipFill>
                  <pic:spPr bwMode="auto">
                    <a:xfrm>
                      <a:off x="0" y="0"/>
                      <a:ext cx="8229600" cy="4422325"/>
                    </a:xfrm>
                    <a:prstGeom prst="rect">
                      <a:avLst/>
                    </a:prstGeom>
                    <a:noFill/>
                    <a:ln w="9525">
                      <a:noFill/>
                      <a:miter lim="800000"/>
                      <a:headEnd/>
                      <a:tailEnd/>
                    </a:ln>
                  </pic:spPr>
                </pic:pic>
              </a:graphicData>
            </a:graphic>
          </wp:inline>
        </w:drawing>
      </w:r>
    </w:p>
    <w:p w:rsidR="00776F64" w:rsidRPr="00475331" w:rsidRDefault="0031289A">
      <w:pPr>
        <w:rPr>
          <w:rFonts w:ascii="Times New Roman" w:hAnsi="Times New Roman" w:cs="Times New Roman"/>
        </w:rPr>
      </w:pPr>
      <w:r>
        <w:rPr>
          <w:rFonts w:ascii="Times New Roman" w:hAnsi="Times New Roman" w:cs="Times New Roman"/>
        </w:rPr>
        <w:t>Figure 8:</w:t>
      </w:r>
      <w:r w:rsidR="00794D69">
        <w:rPr>
          <w:rFonts w:ascii="Times New Roman" w:hAnsi="Times New Roman" w:cs="Times New Roman"/>
        </w:rPr>
        <w:t xml:space="preserve"> </w:t>
      </w:r>
      <w:bookmarkStart w:id="16" w:name="OLE_LINK17"/>
      <w:bookmarkStart w:id="17" w:name="OLE_LINK18"/>
      <w:r w:rsidR="00794D69">
        <w:rPr>
          <w:rFonts w:ascii="Times New Roman" w:hAnsi="Times New Roman" w:cs="Times New Roman"/>
        </w:rPr>
        <w:t xml:space="preserve">Plots of risk episodes. The time points with values above the </w:t>
      </w:r>
      <w:proofErr w:type="spellStart"/>
      <w:r w:rsidR="00794D69">
        <w:rPr>
          <w:rFonts w:ascii="Times New Roman" w:hAnsi="Times New Roman" w:cs="Times New Roman"/>
        </w:rPr>
        <w:t>quantile</w:t>
      </w:r>
      <w:proofErr w:type="spellEnd"/>
      <w:r w:rsidR="00794D69">
        <w:rPr>
          <w:rFonts w:ascii="Times New Roman" w:hAnsi="Times New Roman" w:cs="Times New Roman"/>
        </w:rPr>
        <w:t xml:space="preserve"> of 0.05 are identified as the periods with increased risk exposure. </w:t>
      </w:r>
      <w:bookmarkEnd w:id="16"/>
      <w:bookmarkEnd w:id="17"/>
    </w:p>
    <w:p w:rsidR="00776F64" w:rsidRPr="00475331" w:rsidRDefault="00776F64">
      <w:pPr>
        <w:rPr>
          <w:rFonts w:ascii="Times New Roman" w:hAnsi="Times New Roman" w:cs="Times New Roman"/>
        </w:rPr>
      </w:pPr>
    </w:p>
    <w:sectPr w:rsidR="00776F64" w:rsidRPr="00475331" w:rsidSect="00FD6EB7">
      <w:pgSz w:w="15840" w:h="12240" w:orient="landscape"/>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8C6F88"/>
    <w:rsid w:val="00005280"/>
    <w:rsid w:val="00113134"/>
    <w:rsid w:val="00292CC3"/>
    <w:rsid w:val="0031289A"/>
    <w:rsid w:val="0038059D"/>
    <w:rsid w:val="00392225"/>
    <w:rsid w:val="00451149"/>
    <w:rsid w:val="00475331"/>
    <w:rsid w:val="00606D09"/>
    <w:rsid w:val="00776F64"/>
    <w:rsid w:val="007924AB"/>
    <w:rsid w:val="00794D69"/>
    <w:rsid w:val="007B16B3"/>
    <w:rsid w:val="007C6F3E"/>
    <w:rsid w:val="0084761D"/>
    <w:rsid w:val="008B1EFB"/>
    <w:rsid w:val="008C6F88"/>
    <w:rsid w:val="008F56F1"/>
    <w:rsid w:val="00AB5AAB"/>
    <w:rsid w:val="00AE741F"/>
    <w:rsid w:val="00C01EE4"/>
    <w:rsid w:val="00EC60F2"/>
    <w:rsid w:val="00EE49BA"/>
    <w:rsid w:val="00F76874"/>
    <w:rsid w:val="00FD6E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4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F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F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357</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19</cp:revision>
  <cp:lastPrinted>2011-09-05T06:42:00Z</cp:lastPrinted>
  <dcterms:created xsi:type="dcterms:W3CDTF">2011-08-14T16:53:00Z</dcterms:created>
  <dcterms:modified xsi:type="dcterms:W3CDTF">2011-09-07T04:36:00Z</dcterms:modified>
</cp:coreProperties>
</file>